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ascii="宋体" w:hAnsi="宋体" w:eastAsia="宋体" w:cs="仿宋_GB2312"/>
          <w:b/>
          <w:bCs/>
          <w:sz w:val="44"/>
          <w:szCs w:val="44"/>
        </w:rPr>
      </w:pPr>
      <w:r>
        <w:rPr>
          <w:rFonts w:hint="eastAsia" w:ascii="宋体" w:hAnsi="宋体" w:eastAsia="宋体" w:cs="仿宋_GB2312"/>
          <w:b/>
          <w:bCs/>
          <w:sz w:val="44"/>
          <w:szCs w:val="44"/>
        </w:rPr>
        <w:t>“杨凌农科”双创项目路演暨金融投资</w:t>
      </w:r>
    </w:p>
    <w:p>
      <w:pPr>
        <w:spacing w:line="580" w:lineRule="exact"/>
        <w:jc w:val="center"/>
        <w:rPr>
          <w:rFonts w:ascii="宋体" w:hAnsi="宋体" w:eastAsia="宋体" w:cs="仿宋_GB2312"/>
          <w:b/>
          <w:bCs/>
          <w:sz w:val="44"/>
          <w:szCs w:val="44"/>
        </w:rPr>
      </w:pPr>
      <w:r>
        <w:rPr>
          <w:rFonts w:hint="eastAsia" w:ascii="宋体" w:hAnsi="宋体" w:eastAsia="宋体" w:cs="仿宋_GB2312"/>
          <w:b/>
          <w:bCs/>
          <w:sz w:val="44"/>
          <w:szCs w:val="44"/>
        </w:rPr>
        <w:t>对接会在深圳举行</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8月28日，由示范区党工委管委会主办，</w:t>
      </w:r>
      <w:r>
        <w:rPr>
          <w:rFonts w:hint="eastAsia" w:ascii="仿宋_GB2312" w:hAnsi="仿宋_GB2312" w:eastAsia="仿宋_GB2312" w:cs="仿宋_GB2312"/>
          <w:sz w:val="32"/>
          <w:szCs w:val="32"/>
          <w:lang w:val="en-US" w:eastAsia="zh-CN"/>
        </w:rPr>
        <w:t>西北农林科技大学深圳研究院、</w:t>
      </w:r>
      <w:r>
        <w:rPr>
          <w:rFonts w:hint="eastAsia" w:ascii="仿宋_GB2312" w:hAnsi="仿宋_GB2312" w:eastAsia="仿宋_GB2312" w:cs="仿宋_GB2312"/>
          <w:sz w:val="32"/>
          <w:szCs w:val="32"/>
        </w:rPr>
        <w:t>示范区共建融合办、投资促进局、创新创业园公司承办的“杨凌农科”双创项目路演暨金融投资对接会在深圳市南山科兴科学园举行，会议由示范区创新创业园公司董事长薛海兵主持，示范区党工委委员、管委会副主任袁鸿马出席会议并致辞。</w:t>
      </w:r>
    </w:p>
    <w:p>
      <w:pPr>
        <w:spacing w:line="580" w:lineRule="exact"/>
        <w:ind w:firstLine="640" w:firstLineChars="200"/>
        <w:rPr>
          <w:rFonts w:ascii="Times New Roman" w:hAnsi="Times New Roman"/>
          <w:szCs w:val="32"/>
        </w:rPr>
      </w:pPr>
      <w:r>
        <w:rPr>
          <w:rFonts w:hint="eastAsia" w:ascii="仿宋_GB2312" w:hAnsi="仿宋_GB2312" w:eastAsia="仿宋_GB2312" w:cs="仿宋_GB2312"/>
          <w:sz w:val="32"/>
          <w:szCs w:val="32"/>
        </w:rPr>
        <w:t>袁鸿马表示：杨凌作为我国首个国家级农业高新技术产业示范区，也是全国唯一的农业自贸片区，尤其是国务院三次对杨凌发展专门做出批复，加之上合组织农业技术交流培训示范基地的成立，使得杨凌越来越成为国际合作交流的重要平台。近年来，杨凌示范区围绕双创示范基地建设、协同创新、涉农创新创业高地建设、农业科技与金融资本深度对接、全域科创中心建设等，不断促进人才、技术、资本和产业等创新要素的集聚，希望以今天的对接会为契机，搭建一个农业科技和金融对接的平台，让杨凌的农业科创优势和深圳的科技金融优势互动起来。</w:t>
      </w:r>
    </w:p>
    <w:p>
      <w:pPr>
        <w:spacing w:line="580" w:lineRule="exact"/>
        <w:ind w:firstLine="420" w:firstLineChars="200"/>
        <w:rPr>
          <w:rFonts w:ascii="Times New Roman" w:hAnsi="Times New Roman"/>
          <w:szCs w:val="32"/>
        </w:rPr>
      </w:pPr>
    </w:p>
    <w:p>
      <w:pPr>
        <w:spacing w:line="580" w:lineRule="exact"/>
        <w:ind w:firstLine="420" w:firstLineChars="200"/>
        <w:rPr>
          <w:rFonts w:ascii="Times New Roman" w:hAnsi="Times New Roman"/>
          <w:szCs w:val="32"/>
        </w:rPr>
      </w:pPr>
    </w:p>
    <w:p>
      <w:pPr>
        <w:spacing w:line="580" w:lineRule="exact"/>
        <w:ind w:firstLine="420" w:firstLineChars="200"/>
        <w:rPr>
          <w:rFonts w:ascii="Times New Roman" w:hAnsi="Times New Roman"/>
          <w:szCs w:val="32"/>
        </w:rPr>
      </w:pPr>
    </w:p>
    <w:p>
      <w:pPr>
        <w:ind w:firstLine="420" w:firstLineChars="200"/>
        <w:rPr>
          <w:rFonts w:ascii="Times New Roman" w:hAnsi="Times New Roman"/>
          <w:szCs w:val="32"/>
        </w:rPr>
      </w:pPr>
    </w:p>
    <w:p>
      <w:pPr>
        <w:ind w:firstLine="420" w:firstLineChars="200"/>
        <w:rPr>
          <w:rFonts w:ascii="Times New Roman" w:hAnsi="Times New Roman"/>
          <w:szCs w:val="32"/>
        </w:rPr>
      </w:pPr>
    </w:p>
    <w:p>
      <w:pPr>
        <w:ind w:firstLine="640" w:firstLineChars="200"/>
        <w:rPr>
          <w:rFonts w:ascii="仿宋_GB2312" w:hAnsi="仿宋_GB2312" w:eastAsia="仿宋_GB2312" w:cs="仿宋_GB2312"/>
          <w:sz w:val="32"/>
          <w:szCs w:val="32"/>
        </w:rPr>
      </w:pP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3844290" cy="287972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844800" cy="2880000"/>
                    </a:xfrm>
                    <a:prstGeom prst="rect">
                      <a:avLst/>
                    </a:prstGeom>
                    <a:noFill/>
                    <a:ln>
                      <a:noFill/>
                    </a:ln>
                  </pic:spPr>
                </pic:pic>
              </a:graphicData>
            </a:graphic>
          </wp:inline>
        </w:drawing>
      </w:r>
    </w:p>
    <w:p>
      <w:pPr>
        <w:ind w:firstLine="720" w:firstLineChars="300"/>
        <w:jc w:val="center"/>
        <w:rPr>
          <w:rFonts w:ascii="楷体" w:hAnsi="楷体" w:eastAsia="楷体" w:cs="仿宋_GB2312"/>
          <w:sz w:val="24"/>
          <w:szCs w:val="24"/>
        </w:rPr>
      </w:pPr>
      <w:r>
        <w:rPr>
          <w:rFonts w:hint="eastAsia" w:ascii="楷体" w:hAnsi="楷体" w:eastAsia="楷体" w:cs="仿宋_GB2312"/>
          <w:sz w:val="24"/>
          <w:szCs w:val="24"/>
        </w:rPr>
        <w:t>示范区党工委委员、管委会副主任袁鸿马致辞</w:t>
      </w:r>
    </w:p>
    <w:p>
      <w:pPr>
        <w:jc w:val="center"/>
        <w:rPr>
          <w:rFonts w:ascii="楷体" w:hAnsi="楷体" w:eastAsia="楷体" w:cs="仿宋_GB2312"/>
          <w:sz w:val="24"/>
          <w:szCs w:val="24"/>
        </w:rPr>
      </w:pPr>
      <w:r>
        <w:rPr>
          <w:rFonts w:ascii="仿宋_GB2312" w:hAnsi="仿宋_GB2312" w:eastAsia="仿宋_GB2312" w:cs="仿宋_GB2312"/>
          <w:sz w:val="32"/>
          <w:szCs w:val="32"/>
        </w:rPr>
        <w:drawing>
          <wp:inline distT="0" distB="0" distL="0" distR="0">
            <wp:extent cx="4481830" cy="2519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482000" cy="2520000"/>
                    </a:xfrm>
                    <a:prstGeom prst="rect">
                      <a:avLst/>
                    </a:prstGeom>
                    <a:noFill/>
                    <a:ln>
                      <a:noFill/>
                    </a:ln>
                  </pic:spPr>
                </pic:pic>
              </a:graphicData>
            </a:graphic>
          </wp:inline>
        </w:drawing>
      </w:r>
    </w:p>
    <w:p>
      <w:pPr>
        <w:jc w:val="center"/>
        <w:rPr>
          <w:rFonts w:ascii="楷体" w:hAnsi="楷体" w:eastAsia="楷体" w:cs="仿宋_GB2312"/>
          <w:sz w:val="24"/>
          <w:szCs w:val="24"/>
        </w:rPr>
      </w:pPr>
      <w:r>
        <w:rPr>
          <w:rFonts w:hint="eastAsia" w:ascii="楷体" w:hAnsi="楷体" w:eastAsia="楷体" w:cs="仿宋_GB2312"/>
          <w:sz w:val="24"/>
          <w:szCs w:val="24"/>
        </w:rPr>
        <w:t>创新创业园公司董事长薛海兵主持对接会</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杨凌为什么会成为全国第一个农业高新技术产业示范区，为什么会成为唯一的农业自贸片区，杨凌究竟有何特殊之处、何为“3631”、“金牌店小二”和“五星级服务员”等，杨凌示范区党工委管委会副秘书长、共建融合办主任陈亚平生动质朴地向参会人员推介着杨凌的投资环境，“栽下梧桐树，引得凤凰来”，杨凌张开双手欢迎各方宾朋前来投资兴业。</w:t>
      </w:r>
    </w:p>
    <w:p>
      <w:pPr>
        <w:ind w:firstLine="640" w:firstLineChars="200"/>
        <w:jc w:val="center"/>
        <w:rPr>
          <w:rFonts w:ascii="仿宋_GB2312" w:hAnsi="仿宋_GB2312" w:eastAsia="仿宋_GB2312" w:cs="仿宋_GB2312"/>
          <w:sz w:val="32"/>
          <w:szCs w:val="32"/>
        </w:rPr>
      </w:pPr>
      <w:r>
        <w:rPr>
          <w:rFonts w:ascii="仿宋" w:hAnsi="仿宋" w:eastAsia="仿宋"/>
          <w:sz w:val="32"/>
          <w:szCs w:val="32"/>
        </w:rPr>
        <w:drawing>
          <wp:inline distT="0" distB="0" distL="0" distR="0">
            <wp:extent cx="3837305" cy="2879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837600" cy="2880000"/>
                    </a:xfrm>
                    <a:prstGeom prst="rect">
                      <a:avLst/>
                    </a:prstGeom>
                    <a:noFill/>
                    <a:ln>
                      <a:noFill/>
                    </a:ln>
                  </pic:spPr>
                </pic:pic>
              </a:graphicData>
            </a:graphic>
          </wp:inline>
        </w:drawing>
      </w:r>
    </w:p>
    <w:p>
      <w:pPr>
        <w:jc w:val="center"/>
        <w:rPr>
          <w:rFonts w:ascii="楷体" w:hAnsi="楷体" w:eastAsia="楷体"/>
          <w:sz w:val="24"/>
          <w:szCs w:val="24"/>
        </w:rPr>
      </w:pPr>
      <w:r>
        <w:rPr>
          <w:rFonts w:hint="eastAsia" w:ascii="楷体" w:hAnsi="楷体" w:eastAsia="楷体" w:cs="仿宋_GB2312"/>
          <w:sz w:val="24"/>
          <w:szCs w:val="24"/>
        </w:rPr>
        <w:t xml:space="preserve"> </w:t>
      </w:r>
      <w:r>
        <w:rPr>
          <w:rFonts w:ascii="楷体" w:hAnsi="楷体" w:eastAsia="楷体" w:cs="仿宋_GB2312"/>
          <w:sz w:val="24"/>
          <w:szCs w:val="24"/>
        </w:rPr>
        <w:t xml:space="preserve">   </w:t>
      </w:r>
      <w:r>
        <w:rPr>
          <w:rFonts w:hint="eastAsia" w:ascii="楷体" w:hAnsi="楷体" w:eastAsia="楷体" w:cs="仿宋_GB2312"/>
          <w:sz w:val="24"/>
          <w:szCs w:val="24"/>
        </w:rPr>
        <w:t>党工委管委会副秘书长、共建融合办主任陈亚平推介示范区投资环境</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西北农林科技大学校友、深圳前海大一投资基金管理有限公司董事长王文博现身说法，讲述了自己如何从一个高校老师、政府官员、成为一个资深投融资专家的心路历程，以及在杨凌成立万可森研发中心有限公司、西北农林科技大学校友企业家联盟的点点滴滴，让与会者真真切切地感受到杨凌的优势与诚意。</w:t>
      </w:r>
    </w:p>
    <w:p>
      <w:pPr>
        <w:ind w:firstLine="640" w:firstLineChars="200"/>
        <w:jc w:val="center"/>
        <w:rPr>
          <w:rFonts w:ascii="仿宋_GB2312" w:hAnsi="仿宋_GB2312" w:eastAsia="仿宋_GB2312" w:cs="仿宋_GB2312"/>
          <w:sz w:val="32"/>
          <w:szCs w:val="32"/>
        </w:rPr>
      </w:pPr>
      <w:r>
        <w:rPr>
          <w:rFonts w:ascii="仿宋" w:hAnsi="仿宋" w:eastAsia="仿宋"/>
          <w:sz w:val="32"/>
          <w:szCs w:val="32"/>
        </w:rPr>
        <w:drawing>
          <wp:inline distT="0" distB="0" distL="0" distR="0">
            <wp:extent cx="5118735" cy="287972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19200" cy="2880000"/>
                    </a:xfrm>
                    <a:prstGeom prst="rect">
                      <a:avLst/>
                    </a:prstGeom>
                    <a:noFill/>
                    <a:ln>
                      <a:noFill/>
                    </a:ln>
                  </pic:spPr>
                </pic:pic>
              </a:graphicData>
            </a:graphic>
          </wp:inline>
        </w:drawing>
      </w:r>
    </w:p>
    <w:p>
      <w:pPr>
        <w:jc w:val="center"/>
        <w:rPr>
          <w:rFonts w:ascii="楷体" w:hAnsi="楷体" w:eastAsia="楷体" w:cs="仿宋_GB2312"/>
          <w:sz w:val="24"/>
          <w:szCs w:val="24"/>
        </w:rPr>
      </w:pPr>
      <w:r>
        <w:rPr>
          <w:rFonts w:hint="eastAsia" w:ascii="楷体" w:hAnsi="楷体" w:eastAsia="楷体" w:cs="仿宋_GB2312"/>
          <w:sz w:val="24"/>
          <w:szCs w:val="24"/>
        </w:rPr>
        <w:t>大一资本董事长王文博分享在杨凌创业的心路历程</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李华葡萄酒、秦宝牛肉、无花果酒、阳光玫瑰、冬枣、圣桑、猕猴桃汁等等，这些来自杨凌的绿色食品，大家品的津津有味，此次示范区投资促进局专门设置了品鉴环节，为的就是让大家感受一下农科城的优质产品，让与会的企业家与投融资机构负责人在轻松愉快的环境中进行交流洽谈。</w:t>
      </w:r>
    </w:p>
    <w:p>
      <w:pPr>
        <w:spacing w:after="156" w:afterLines="50"/>
        <w:ind w:firstLine="480" w:firstLineChars="200"/>
        <w:rPr>
          <w:rFonts w:ascii="仿宋_GB2312" w:hAnsi="仿宋_GB2312" w:eastAsia="仿宋_GB2312" w:cs="仿宋_GB2312"/>
          <w:sz w:val="32"/>
          <w:szCs w:val="32"/>
        </w:rPr>
      </w:pPr>
      <w:r>
        <w:rPr>
          <w:rFonts w:hint="eastAsia" w:ascii="楷体" w:hAnsi="楷体" w:eastAsia="楷体" w:cs="仿宋_GB2312"/>
          <w:sz w:val="24"/>
          <w:szCs w:val="24"/>
        </w:rPr>
        <w:drawing>
          <wp:inline distT="0" distB="0" distL="0" distR="0">
            <wp:extent cx="5615940" cy="3159125"/>
            <wp:effectExtent l="0" t="0" r="381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40" cy="3159125"/>
                    </a:xfrm>
                    <a:prstGeom prst="rect">
                      <a:avLst/>
                    </a:prstGeom>
                  </pic:spPr>
                </pic:pic>
              </a:graphicData>
            </a:graphic>
          </wp:inline>
        </w:drawing>
      </w:r>
    </w:p>
    <w:p>
      <w:pPr>
        <w:ind w:firstLine="480" w:firstLineChars="200"/>
        <w:rPr>
          <w:rFonts w:ascii="仿宋_GB2312" w:hAnsi="仿宋_GB2312" w:eastAsia="仿宋_GB2312" w:cs="仿宋_GB2312"/>
          <w:sz w:val="32"/>
          <w:szCs w:val="32"/>
        </w:rPr>
      </w:pPr>
      <w:r>
        <w:rPr>
          <w:rFonts w:hint="eastAsia" w:ascii="楷体" w:hAnsi="楷体" w:eastAsia="楷体" w:cs="仿宋_GB2312"/>
          <w:sz w:val="24"/>
          <w:szCs w:val="24"/>
          <w:lang w:val="zh-CN"/>
        </w:rPr>
        <w:drawing>
          <wp:inline distT="0" distB="0" distL="0" distR="0">
            <wp:extent cx="5615940" cy="3159125"/>
            <wp:effectExtent l="0" t="0" r="381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3159125"/>
                    </a:xfrm>
                    <a:prstGeom prst="rect">
                      <a:avLst/>
                    </a:prstGeom>
                  </pic:spPr>
                </pic:pic>
              </a:graphicData>
            </a:graphic>
          </wp:inline>
        </w:drawing>
      </w:r>
    </w:p>
    <w:p>
      <w:pPr>
        <w:jc w:val="center"/>
        <w:rPr>
          <w:rFonts w:hint="eastAsia" w:ascii="楷体" w:hAnsi="楷体" w:eastAsia="楷体" w:cs="仿宋_GB2312"/>
          <w:sz w:val="24"/>
          <w:szCs w:val="24"/>
        </w:rPr>
      </w:pPr>
      <w:r>
        <w:rPr>
          <w:rFonts w:hint="eastAsia" w:ascii="楷体" w:hAnsi="楷体" w:eastAsia="楷体" w:cs="仿宋_GB2312"/>
          <w:sz w:val="24"/>
          <w:szCs w:val="24"/>
        </w:rPr>
        <w:t>杨凌绿色食品品鉴</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据了解，为做好此次项目路演暨金融投资对接活动，示范区创新创业园公司从近几年陕西省创新创业大赛获奖项目中选择优秀项目进行了预路演，并邀请创业导师对筛选出的前六个项目进行了题为“项目路演八分钟打动投资人”的专题培训，提升了企业的自我展示水平。陕西诺威利华生物科技有限公司的“新兽医生物制品产业化公共服务平台”等6个项目进行了路演，向在场的投融资机构展示了他们的风采。</w:t>
      </w:r>
    </w:p>
    <w:p>
      <w:pPr>
        <w:jc w:val="center"/>
        <w:rPr>
          <w:rFonts w:ascii="楷体" w:hAnsi="楷体" w:eastAsia="楷体" w:cs="仿宋_GB2312"/>
          <w:sz w:val="24"/>
          <w:szCs w:val="24"/>
        </w:rPr>
      </w:pPr>
      <w:r>
        <w:rPr>
          <w:rFonts w:ascii="楷体" w:hAnsi="楷体" w:eastAsia="楷体" w:cs="仿宋_GB2312"/>
          <w:sz w:val="24"/>
          <w:szCs w:val="24"/>
        </w:rPr>
        <w:drawing>
          <wp:inline distT="0" distB="0" distL="0" distR="0">
            <wp:extent cx="5274310" cy="29711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971165"/>
                    </a:xfrm>
                    <a:prstGeom prst="rect">
                      <a:avLst/>
                    </a:prstGeom>
                    <a:noFill/>
                    <a:ln>
                      <a:noFill/>
                    </a:ln>
                  </pic:spPr>
                </pic:pic>
              </a:graphicData>
            </a:graphic>
          </wp:inline>
        </w:drawing>
      </w:r>
    </w:p>
    <w:p>
      <w:pPr>
        <w:spacing w:line="580" w:lineRule="exact"/>
        <w:jc w:val="center"/>
        <w:rPr>
          <w:rFonts w:ascii="楷体" w:hAnsi="楷体" w:eastAsia="楷体" w:cs="仿宋_GB2312"/>
          <w:sz w:val="24"/>
          <w:szCs w:val="24"/>
        </w:rPr>
      </w:pPr>
      <w:r>
        <w:rPr>
          <w:rFonts w:hint="eastAsia" w:ascii="楷体" w:hAnsi="楷体" w:eastAsia="楷体" w:cs="仿宋_GB2312"/>
          <w:sz w:val="24"/>
          <w:szCs w:val="24"/>
        </w:rPr>
        <w:t>陕西诺威利华生物科技有限公司推介新兽医生物制品产业化公共服务平台项目</w:t>
      </w:r>
    </w:p>
    <w:p>
      <w:pPr>
        <w:jc w:val="center"/>
        <w:rPr>
          <w:rFonts w:ascii="楷体" w:hAnsi="楷体" w:eastAsia="楷体" w:cs="仿宋_GB2312"/>
          <w:sz w:val="24"/>
          <w:szCs w:val="24"/>
        </w:rPr>
      </w:pPr>
      <w:r>
        <w:rPr>
          <w:rFonts w:ascii="楷体" w:hAnsi="楷体" w:eastAsia="楷体" w:cs="仿宋_GB2312"/>
          <w:sz w:val="24"/>
          <w:szCs w:val="24"/>
        </w:rPr>
        <w:drawing>
          <wp:inline distT="0" distB="0" distL="0" distR="0">
            <wp:extent cx="5274310" cy="29711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971165"/>
                    </a:xfrm>
                    <a:prstGeom prst="rect">
                      <a:avLst/>
                    </a:prstGeom>
                    <a:noFill/>
                    <a:ln>
                      <a:noFill/>
                    </a:ln>
                  </pic:spPr>
                </pic:pic>
              </a:graphicData>
            </a:graphic>
          </wp:inline>
        </w:drawing>
      </w:r>
    </w:p>
    <w:p>
      <w:pPr>
        <w:spacing w:line="580" w:lineRule="exact"/>
        <w:jc w:val="center"/>
        <w:rPr>
          <w:rFonts w:ascii="楷体" w:hAnsi="楷体" w:eastAsia="楷体" w:cs="仿宋_GB2312"/>
          <w:sz w:val="24"/>
          <w:szCs w:val="24"/>
        </w:rPr>
      </w:pPr>
      <w:r>
        <w:rPr>
          <w:rFonts w:hint="eastAsia" w:ascii="楷体" w:hAnsi="楷体" w:eastAsia="楷体" w:cs="仿宋_GB2312"/>
          <w:sz w:val="24"/>
          <w:szCs w:val="24"/>
        </w:rPr>
        <w:t>杨凌诚毅农业科技有限公司推介国际领先的彩色马铃薯——未来粮食之星项目</w:t>
      </w:r>
    </w:p>
    <w:p>
      <w:pPr>
        <w:rPr>
          <w:rFonts w:ascii="楷体" w:hAnsi="楷体" w:eastAsia="楷体" w:cs="仿宋_GB2312"/>
          <w:sz w:val="24"/>
          <w:szCs w:val="24"/>
        </w:rPr>
      </w:pPr>
    </w:p>
    <w:p>
      <w:pPr>
        <w:pStyle w:val="4"/>
        <w:ind w:left="357" w:firstLine="0" w:firstLineChars="0"/>
        <w:jc w:val="left"/>
        <w:rPr>
          <w:rFonts w:ascii="仿宋_GB2312" w:hAnsi="DotumChe" w:eastAsia="仿宋_GB2312"/>
          <w:sz w:val="32"/>
          <w:szCs w:val="32"/>
        </w:rPr>
      </w:pPr>
      <w:r>
        <w:rPr>
          <w:rFonts w:ascii="楷体" w:hAnsi="楷体" w:eastAsia="楷体" w:cs="仿宋_GB2312"/>
          <w:sz w:val="24"/>
          <w:szCs w:val="24"/>
        </w:rPr>
        <w:drawing>
          <wp:inline distT="0" distB="0" distL="0" distR="0">
            <wp:extent cx="5274310" cy="29711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971165"/>
                    </a:xfrm>
                    <a:prstGeom prst="rect">
                      <a:avLst/>
                    </a:prstGeom>
                    <a:noFill/>
                    <a:ln>
                      <a:noFill/>
                    </a:ln>
                  </pic:spPr>
                </pic:pic>
              </a:graphicData>
            </a:graphic>
          </wp:inline>
        </w:drawing>
      </w:r>
    </w:p>
    <w:p>
      <w:pPr>
        <w:spacing w:line="580" w:lineRule="exact"/>
        <w:rPr>
          <w:rFonts w:ascii="楷体" w:hAnsi="楷体" w:eastAsia="楷体" w:cs="仿宋_GB2312"/>
          <w:sz w:val="24"/>
          <w:szCs w:val="24"/>
        </w:rPr>
      </w:pPr>
      <w:r>
        <w:rPr>
          <w:rFonts w:hint="eastAsia" w:ascii="楷体" w:hAnsi="楷体" w:eastAsia="楷体" w:cs="仿宋_GB2312"/>
          <w:sz w:val="24"/>
          <w:szCs w:val="24"/>
        </w:rPr>
        <w:t>陕西梅西动物科学技术开发有限公司推介即牛-秦川牛即食产品研发及产业化项目</w:t>
      </w:r>
    </w:p>
    <w:p>
      <w:pPr>
        <w:jc w:val="center"/>
        <w:rPr>
          <w:rFonts w:ascii="楷体" w:hAnsi="楷体" w:eastAsia="楷体" w:cs="仿宋_GB2312"/>
          <w:sz w:val="24"/>
          <w:szCs w:val="24"/>
        </w:rPr>
      </w:pPr>
    </w:p>
    <w:p>
      <w:pPr>
        <w:jc w:val="center"/>
        <w:rPr>
          <w:rFonts w:ascii="楷体" w:hAnsi="楷体" w:eastAsia="楷体" w:cs="仿宋_GB2312"/>
          <w:sz w:val="24"/>
          <w:szCs w:val="24"/>
        </w:rPr>
      </w:pPr>
      <w:r>
        <w:rPr>
          <w:rFonts w:ascii="楷体" w:hAnsi="楷体" w:eastAsia="楷体" w:cs="仿宋_GB2312"/>
          <w:sz w:val="24"/>
          <w:szCs w:val="24"/>
        </w:rPr>
        <w:drawing>
          <wp:inline distT="0" distB="0" distL="0" distR="0">
            <wp:extent cx="5274310" cy="29654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965450"/>
                    </a:xfrm>
                    <a:prstGeom prst="rect">
                      <a:avLst/>
                    </a:prstGeom>
                    <a:noFill/>
                    <a:ln>
                      <a:noFill/>
                    </a:ln>
                  </pic:spPr>
                </pic:pic>
              </a:graphicData>
            </a:graphic>
          </wp:inline>
        </w:drawing>
      </w:r>
      <w:r>
        <w:rPr>
          <w:rFonts w:hint="eastAsia" w:ascii="楷体" w:hAnsi="楷体" w:eastAsia="楷体" w:cs="仿宋_GB2312"/>
          <w:sz w:val="24"/>
          <w:szCs w:val="24"/>
        </w:rPr>
        <w:t xml:space="preserve"> </w:t>
      </w:r>
      <w:r>
        <w:rPr>
          <w:rFonts w:ascii="楷体" w:hAnsi="楷体" w:eastAsia="楷体" w:cs="仿宋_GB2312"/>
          <w:sz w:val="24"/>
          <w:szCs w:val="24"/>
        </w:rPr>
        <w:t xml:space="preserve">  </w:t>
      </w:r>
      <w:r>
        <w:rPr>
          <w:rFonts w:hint="eastAsia" w:ascii="楷体" w:hAnsi="楷体" w:eastAsia="楷体" w:cs="仿宋_GB2312"/>
          <w:sz w:val="24"/>
          <w:szCs w:val="24"/>
        </w:rPr>
        <w:t>陕西易研立心信息科技有限公司推介横渠网——全国性的科研共享平台项目</w:t>
      </w:r>
    </w:p>
    <w:p>
      <w:pPr>
        <w:jc w:val="center"/>
        <w:rPr>
          <w:rFonts w:ascii="楷体" w:hAnsi="楷体" w:eastAsia="楷体" w:cs="仿宋_GB2312"/>
          <w:sz w:val="24"/>
          <w:szCs w:val="24"/>
        </w:rPr>
      </w:pPr>
    </w:p>
    <w:p>
      <w:pPr>
        <w:jc w:val="center"/>
        <w:rPr>
          <w:rFonts w:ascii="仿宋_GB2312" w:hAnsi="DotumChe" w:eastAsia="仿宋_GB2312"/>
          <w:sz w:val="32"/>
          <w:szCs w:val="32"/>
        </w:rPr>
      </w:pPr>
      <w:r>
        <w:drawing>
          <wp:inline distT="0" distB="0" distL="0" distR="0">
            <wp:extent cx="5118735" cy="2879725"/>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19200" cy="2880000"/>
                    </a:xfrm>
                    <a:prstGeom prst="rect">
                      <a:avLst/>
                    </a:prstGeom>
                    <a:noFill/>
                    <a:ln>
                      <a:noFill/>
                    </a:ln>
                  </pic:spPr>
                </pic:pic>
              </a:graphicData>
            </a:graphic>
          </wp:inline>
        </w:drawing>
      </w:r>
      <w:r>
        <w:rPr>
          <w:rFonts w:hint="eastAsia" w:ascii="仿宋_GB2312" w:hAnsi="DotumChe" w:eastAsia="仿宋_GB2312"/>
          <w:sz w:val="32"/>
          <w:szCs w:val="32"/>
        </w:rPr>
        <w:t xml:space="preserve"> </w:t>
      </w:r>
      <w:r>
        <w:rPr>
          <w:rFonts w:ascii="仿宋_GB2312" w:hAnsi="DotumChe" w:eastAsia="仿宋_GB2312"/>
          <w:sz w:val="32"/>
          <w:szCs w:val="32"/>
        </w:rPr>
        <w:t xml:space="preserve">   </w:t>
      </w:r>
      <w:r>
        <w:rPr>
          <w:rFonts w:hint="eastAsia" w:ascii="楷体" w:hAnsi="楷体" w:eastAsia="楷体" w:cs="仿宋_GB2312"/>
          <w:sz w:val="24"/>
          <w:szCs w:val="24"/>
        </w:rPr>
        <w:t xml:space="preserve">陕西水谷云农业科技有限公司推介甘露云—高品质农特产S2B交易磋商服务平台项目 </w:t>
      </w:r>
    </w:p>
    <w:p>
      <w:pPr>
        <w:spacing w:line="580" w:lineRule="exact"/>
        <w:rPr>
          <w:rFonts w:ascii="楷体" w:hAnsi="楷体" w:eastAsia="楷体" w:cs="仿宋_GB2312"/>
          <w:sz w:val="24"/>
          <w:szCs w:val="24"/>
        </w:rPr>
      </w:pPr>
    </w:p>
    <w:p>
      <w:pPr>
        <w:rPr>
          <w:rFonts w:ascii="仿宋_GB2312" w:hAnsi="DotumChe" w:eastAsia="仿宋_GB2312"/>
          <w:sz w:val="32"/>
          <w:szCs w:val="32"/>
        </w:rPr>
      </w:pPr>
      <w:r>
        <w:rPr>
          <w:rFonts w:hint="eastAsia" w:ascii="仿宋_GB2312" w:hAnsi="DotumChe" w:eastAsia="仿宋_GB2312"/>
          <w:sz w:val="32"/>
          <w:szCs w:val="32"/>
        </w:rPr>
        <w:drawing>
          <wp:inline distT="0" distB="0" distL="0" distR="0">
            <wp:extent cx="5615940" cy="3159125"/>
            <wp:effectExtent l="0" t="0" r="381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5940" cy="3159125"/>
                    </a:xfrm>
                    <a:prstGeom prst="rect">
                      <a:avLst/>
                    </a:prstGeom>
                  </pic:spPr>
                </pic:pic>
              </a:graphicData>
            </a:graphic>
          </wp:inline>
        </w:drawing>
      </w:r>
    </w:p>
    <w:p>
      <w:pPr>
        <w:spacing w:line="580" w:lineRule="exact"/>
        <w:jc w:val="center"/>
        <w:rPr>
          <w:rFonts w:ascii="楷体" w:hAnsi="楷体" w:eastAsia="楷体" w:cs="仿宋_GB2312"/>
          <w:sz w:val="24"/>
          <w:szCs w:val="24"/>
        </w:rPr>
      </w:pPr>
      <w:r>
        <w:rPr>
          <w:rFonts w:hint="eastAsia" w:ascii="楷体" w:hAnsi="楷体" w:eastAsia="楷体" w:cs="仿宋_GB2312"/>
          <w:sz w:val="24"/>
          <w:szCs w:val="24"/>
        </w:rPr>
        <w:t>杨凌秾福农牧科技股份有限公司推介“金项圈”—奶牛健康智能监测系统项目</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根据项目路演表现情况及前期考察情况，深圳万可森生物科技有限公司与陕西诺威利华生物科技有限公司签订了合作意向书。</w:t>
      </w:r>
    </w:p>
    <w:p>
      <w:r>
        <w:rPr>
          <w:rFonts w:ascii="仿宋_GB2312" w:hAnsi="仿宋_GB2312" w:eastAsia="仿宋_GB2312" w:cs="仿宋_GB2312"/>
          <w:sz w:val="32"/>
          <w:szCs w:val="32"/>
        </w:rPr>
        <w:drawing>
          <wp:inline distT="0" distB="0" distL="0" distR="0">
            <wp:extent cx="5615940" cy="3159125"/>
            <wp:effectExtent l="0" t="0" r="381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5940" cy="3159125"/>
                    </a:xfrm>
                    <a:prstGeom prst="rect">
                      <a:avLst/>
                    </a:prstGeom>
                  </pic:spPr>
                </pic:pic>
              </a:graphicData>
            </a:graphic>
          </wp:inline>
        </w:drawing>
      </w:r>
    </w:p>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据悉，示范区为促进农业科技与金融资本对接，今年将陆续开展此类“走出去”活动，不断促进农业科技与金融资本的对接，帮助企业成长壮大。</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西北农林科技大学深圳</w:t>
      </w:r>
      <w:r>
        <w:rPr>
          <w:rFonts w:hint="eastAsia" w:ascii="仿宋_GB2312" w:hAnsi="仿宋_GB2312" w:eastAsia="仿宋_GB2312" w:cs="仿宋_GB2312"/>
          <w:sz w:val="32"/>
          <w:szCs w:val="32"/>
          <w:lang w:eastAsia="zh-CN"/>
        </w:rPr>
        <w:t>研究院、</w:t>
      </w:r>
      <w:r>
        <w:rPr>
          <w:rFonts w:hint="eastAsia" w:ascii="仿宋_GB2312" w:hAnsi="仿宋_GB2312" w:eastAsia="仿宋_GB2312" w:cs="仿宋_GB2312"/>
          <w:sz w:val="32"/>
          <w:szCs w:val="32"/>
        </w:rPr>
        <w:t>西北农林科技大学团委、西北农林科技大学深圳校友会、校友企业家联盟、深圳市决策委员会委员、中山大学深圳研究院、大一资本、青橙资本、汇尊资本等机构相关负责同志参加了活动。</w:t>
      </w:r>
      <w:bookmarkStart w:id="0" w:name="_GoBack"/>
      <w:bookmarkEnd w:id="0"/>
    </w:p>
    <w:p>
      <w:pPr>
        <w:ind w:firstLine="640" w:firstLineChars="200"/>
        <w:rPr>
          <w:rFonts w:ascii="仿宋_GB2312" w:hAnsi="仿宋_GB2312" w:eastAsia="仿宋_GB2312" w:cs="仿宋_GB2312"/>
          <w:sz w:val="32"/>
          <w:szCs w:val="32"/>
        </w:rPr>
      </w:pPr>
    </w:p>
    <w:p>
      <w:pPr>
        <w:jc w:val="left"/>
        <w:rPr>
          <w:rFonts w:ascii="仿宋_GB2312" w:hAnsi="仿宋_GB2312" w:eastAsia="仿宋_GB2312" w:cs="仿宋_GB2312"/>
          <w:sz w:val="32"/>
          <w:szCs w:val="32"/>
        </w:rPr>
      </w:pPr>
    </w:p>
    <w:p>
      <w:pPr>
        <w:jc w:val="center"/>
        <w:rPr>
          <w:rFonts w:ascii="楷体" w:hAnsi="楷体" w:eastAsia="楷体" w:cs="仿宋_GB2312"/>
          <w:sz w:val="24"/>
          <w:szCs w:val="24"/>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楷体" w:hAnsi="楷体" w:eastAsia="楷体" w:cs="仿宋_GB2312"/>
          <w:sz w:val="24"/>
          <w:szCs w:val="24"/>
        </w:rPr>
      </w:pPr>
    </w:p>
    <w:p>
      <w:pPr>
        <w:jc w:val="center"/>
        <w:rPr>
          <w:rFonts w:ascii="楷体" w:hAnsi="楷体" w:eastAsia="楷体" w:cs="仿宋_GB2312"/>
          <w:sz w:val="24"/>
          <w:szCs w:val="24"/>
        </w:rPr>
      </w:pPr>
    </w:p>
    <w:p>
      <w:pPr>
        <w:jc w:val="center"/>
        <w:rPr>
          <w:rFonts w:ascii="楷体" w:hAnsi="楷体" w:eastAsia="楷体" w:cs="仿宋_GB2312"/>
          <w:sz w:val="24"/>
          <w:szCs w:val="24"/>
        </w:rPr>
      </w:pPr>
    </w:p>
    <w:p>
      <w:pPr>
        <w:jc w:val="center"/>
        <w:rPr>
          <w:rFonts w:ascii="楷体" w:hAnsi="楷体" w:eastAsia="楷体" w:cs="仿宋_GB2312"/>
          <w:sz w:val="24"/>
          <w:szCs w:val="24"/>
        </w:rPr>
      </w:pPr>
    </w:p>
    <w:p/>
    <w:sectPr>
      <w:pgSz w:w="11906" w:h="16838"/>
      <w:pgMar w:top="1701" w:right="1474" w:bottom="1701"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Dotum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181"/>
    <w:rsid w:val="00006CC5"/>
    <w:rsid w:val="00013BFC"/>
    <w:rsid w:val="00023AA8"/>
    <w:rsid w:val="00027788"/>
    <w:rsid w:val="00050AA3"/>
    <w:rsid w:val="000937E5"/>
    <w:rsid w:val="00093953"/>
    <w:rsid w:val="000C6E7C"/>
    <w:rsid w:val="000C7542"/>
    <w:rsid w:val="000D58DF"/>
    <w:rsid w:val="000D5DF1"/>
    <w:rsid w:val="000E29D3"/>
    <w:rsid w:val="000F0BB2"/>
    <w:rsid w:val="000F7AE3"/>
    <w:rsid w:val="001209ED"/>
    <w:rsid w:val="0012468D"/>
    <w:rsid w:val="00137B63"/>
    <w:rsid w:val="001431D0"/>
    <w:rsid w:val="001461D1"/>
    <w:rsid w:val="00170F3E"/>
    <w:rsid w:val="00176657"/>
    <w:rsid w:val="00185E2C"/>
    <w:rsid w:val="0019291D"/>
    <w:rsid w:val="001A1328"/>
    <w:rsid w:val="001D7A55"/>
    <w:rsid w:val="001E14A3"/>
    <w:rsid w:val="0020300D"/>
    <w:rsid w:val="002070A2"/>
    <w:rsid w:val="0023061C"/>
    <w:rsid w:val="002568E6"/>
    <w:rsid w:val="00263DB6"/>
    <w:rsid w:val="00274B4E"/>
    <w:rsid w:val="00287A90"/>
    <w:rsid w:val="00294611"/>
    <w:rsid w:val="002A2B6E"/>
    <w:rsid w:val="002B339F"/>
    <w:rsid w:val="002B3C91"/>
    <w:rsid w:val="002B56DA"/>
    <w:rsid w:val="002C30E2"/>
    <w:rsid w:val="002C7144"/>
    <w:rsid w:val="002E4F59"/>
    <w:rsid w:val="002E6ACB"/>
    <w:rsid w:val="00335144"/>
    <w:rsid w:val="00342FD1"/>
    <w:rsid w:val="003865D7"/>
    <w:rsid w:val="00386D59"/>
    <w:rsid w:val="003978FE"/>
    <w:rsid w:val="003B1886"/>
    <w:rsid w:val="003D0372"/>
    <w:rsid w:val="003D758D"/>
    <w:rsid w:val="004045E5"/>
    <w:rsid w:val="00406451"/>
    <w:rsid w:val="0041218C"/>
    <w:rsid w:val="00414B4A"/>
    <w:rsid w:val="004217B8"/>
    <w:rsid w:val="00421DF3"/>
    <w:rsid w:val="00424600"/>
    <w:rsid w:val="00446C9E"/>
    <w:rsid w:val="00450F5A"/>
    <w:rsid w:val="00470A8A"/>
    <w:rsid w:val="004758E3"/>
    <w:rsid w:val="00477E8F"/>
    <w:rsid w:val="004866C5"/>
    <w:rsid w:val="00495702"/>
    <w:rsid w:val="004A180F"/>
    <w:rsid w:val="004A19E3"/>
    <w:rsid w:val="004A5188"/>
    <w:rsid w:val="004B696A"/>
    <w:rsid w:val="004D4922"/>
    <w:rsid w:val="0051413A"/>
    <w:rsid w:val="00514397"/>
    <w:rsid w:val="005217B6"/>
    <w:rsid w:val="00521E98"/>
    <w:rsid w:val="005268CE"/>
    <w:rsid w:val="005374D6"/>
    <w:rsid w:val="00543504"/>
    <w:rsid w:val="00546A09"/>
    <w:rsid w:val="00555215"/>
    <w:rsid w:val="00572D74"/>
    <w:rsid w:val="0058574A"/>
    <w:rsid w:val="00593746"/>
    <w:rsid w:val="00596B95"/>
    <w:rsid w:val="005974CD"/>
    <w:rsid w:val="005A2ECB"/>
    <w:rsid w:val="005B335D"/>
    <w:rsid w:val="005C270E"/>
    <w:rsid w:val="005D0AFF"/>
    <w:rsid w:val="005D7FB5"/>
    <w:rsid w:val="005E7746"/>
    <w:rsid w:val="005F1FA8"/>
    <w:rsid w:val="00601181"/>
    <w:rsid w:val="006020FC"/>
    <w:rsid w:val="00617BDC"/>
    <w:rsid w:val="006205AE"/>
    <w:rsid w:val="006232C7"/>
    <w:rsid w:val="00624B05"/>
    <w:rsid w:val="00626FC9"/>
    <w:rsid w:val="00630692"/>
    <w:rsid w:val="00637BA9"/>
    <w:rsid w:val="0064604C"/>
    <w:rsid w:val="00646CFD"/>
    <w:rsid w:val="00665B2B"/>
    <w:rsid w:val="0067539A"/>
    <w:rsid w:val="006A53D7"/>
    <w:rsid w:val="006A5573"/>
    <w:rsid w:val="006B07C3"/>
    <w:rsid w:val="006B1A74"/>
    <w:rsid w:val="006D3466"/>
    <w:rsid w:val="006E18AB"/>
    <w:rsid w:val="006E1DA0"/>
    <w:rsid w:val="006E324E"/>
    <w:rsid w:val="006E7AA2"/>
    <w:rsid w:val="006F143D"/>
    <w:rsid w:val="006F3710"/>
    <w:rsid w:val="0071072A"/>
    <w:rsid w:val="0072211B"/>
    <w:rsid w:val="00723E83"/>
    <w:rsid w:val="00726437"/>
    <w:rsid w:val="00774A0F"/>
    <w:rsid w:val="00787E31"/>
    <w:rsid w:val="007B0D41"/>
    <w:rsid w:val="007C2CBC"/>
    <w:rsid w:val="007C7FCB"/>
    <w:rsid w:val="007E540B"/>
    <w:rsid w:val="007F1E6D"/>
    <w:rsid w:val="007F59C6"/>
    <w:rsid w:val="00801546"/>
    <w:rsid w:val="008062C7"/>
    <w:rsid w:val="00817D94"/>
    <w:rsid w:val="00842511"/>
    <w:rsid w:val="008429AC"/>
    <w:rsid w:val="0085242F"/>
    <w:rsid w:val="00856380"/>
    <w:rsid w:val="008573CB"/>
    <w:rsid w:val="008741CC"/>
    <w:rsid w:val="0088028A"/>
    <w:rsid w:val="00881192"/>
    <w:rsid w:val="00886DB7"/>
    <w:rsid w:val="00887FB9"/>
    <w:rsid w:val="008914F0"/>
    <w:rsid w:val="00896496"/>
    <w:rsid w:val="008972B4"/>
    <w:rsid w:val="008C48FC"/>
    <w:rsid w:val="008D323C"/>
    <w:rsid w:val="008D3F6A"/>
    <w:rsid w:val="008E55BF"/>
    <w:rsid w:val="008F7F0D"/>
    <w:rsid w:val="00907368"/>
    <w:rsid w:val="0091013A"/>
    <w:rsid w:val="009270F2"/>
    <w:rsid w:val="0093676C"/>
    <w:rsid w:val="009767B5"/>
    <w:rsid w:val="009913E3"/>
    <w:rsid w:val="00993384"/>
    <w:rsid w:val="009A24B8"/>
    <w:rsid w:val="009B1D7F"/>
    <w:rsid w:val="009B45CA"/>
    <w:rsid w:val="009B777E"/>
    <w:rsid w:val="009C28E7"/>
    <w:rsid w:val="009C5E8D"/>
    <w:rsid w:val="009D1540"/>
    <w:rsid w:val="009D6674"/>
    <w:rsid w:val="009F0E02"/>
    <w:rsid w:val="009F7070"/>
    <w:rsid w:val="00A00CD8"/>
    <w:rsid w:val="00A07A65"/>
    <w:rsid w:val="00A108CE"/>
    <w:rsid w:val="00A10D12"/>
    <w:rsid w:val="00A47CF1"/>
    <w:rsid w:val="00A47E4A"/>
    <w:rsid w:val="00A63FBF"/>
    <w:rsid w:val="00A710D1"/>
    <w:rsid w:val="00A727D3"/>
    <w:rsid w:val="00A75A65"/>
    <w:rsid w:val="00AA4AB3"/>
    <w:rsid w:val="00AA5BCB"/>
    <w:rsid w:val="00AB5791"/>
    <w:rsid w:val="00AC77D8"/>
    <w:rsid w:val="00AF581C"/>
    <w:rsid w:val="00B145D0"/>
    <w:rsid w:val="00B464FA"/>
    <w:rsid w:val="00B63DE5"/>
    <w:rsid w:val="00BA7ACC"/>
    <w:rsid w:val="00BD7027"/>
    <w:rsid w:val="00C0474B"/>
    <w:rsid w:val="00C05E6B"/>
    <w:rsid w:val="00C077B7"/>
    <w:rsid w:val="00C11EB6"/>
    <w:rsid w:val="00C26B87"/>
    <w:rsid w:val="00C35177"/>
    <w:rsid w:val="00C44011"/>
    <w:rsid w:val="00C53B93"/>
    <w:rsid w:val="00C54BC2"/>
    <w:rsid w:val="00C6682E"/>
    <w:rsid w:val="00C673DB"/>
    <w:rsid w:val="00C73AD5"/>
    <w:rsid w:val="00C744D6"/>
    <w:rsid w:val="00C74995"/>
    <w:rsid w:val="00CA006E"/>
    <w:rsid w:val="00CA487D"/>
    <w:rsid w:val="00CD5578"/>
    <w:rsid w:val="00CF7CDA"/>
    <w:rsid w:val="00D000AA"/>
    <w:rsid w:val="00D06077"/>
    <w:rsid w:val="00D219F9"/>
    <w:rsid w:val="00D62177"/>
    <w:rsid w:val="00D63267"/>
    <w:rsid w:val="00DA5530"/>
    <w:rsid w:val="00DC7002"/>
    <w:rsid w:val="00DD3D64"/>
    <w:rsid w:val="00DE6B87"/>
    <w:rsid w:val="00E021D2"/>
    <w:rsid w:val="00E043A0"/>
    <w:rsid w:val="00E15A2E"/>
    <w:rsid w:val="00E16E58"/>
    <w:rsid w:val="00E25A71"/>
    <w:rsid w:val="00E26AE5"/>
    <w:rsid w:val="00E30E58"/>
    <w:rsid w:val="00E52421"/>
    <w:rsid w:val="00E528C8"/>
    <w:rsid w:val="00E54DC8"/>
    <w:rsid w:val="00E86181"/>
    <w:rsid w:val="00E909D3"/>
    <w:rsid w:val="00E9470B"/>
    <w:rsid w:val="00E957D2"/>
    <w:rsid w:val="00E97B16"/>
    <w:rsid w:val="00EA0B90"/>
    <w:rsid w:val="00EE275F"/>
    <w:rsid w:val="00EE5666"/>
    <w:rsid w:val="00EF219D"/>
    <w:rsid w:val="00EF39DC"/>
    <w:rsid w:val="00F016B2"/>
    <w:rsid w:val="00F11FF7"/>
    <w:rsid w:val="00F50163"/>
    <w:rsid w:val="00F5429A"/>
    <w:rsid w:val="00F61C4A"/>
    <w:rsid w:val="00F775D0"/>
    <w:rsid w:val="00F92561"/>
    <w:rsid w:val="00FB4672"/>
    <w:rsid w:val="00FC4D44"/>
    <w:rsid w:val="00FC78E2"/>
    <w:rsid w:val="00FF6657"/>
    <w:rsid w:val="39BE064A"/>
    <w:rsid w:val="5C3343DE"/>
    <w:rsid w:val="5C927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8DB913-FE2C-4BA5-8092-E223AB8FEE91}">
  <ds:schemaRefs/>
</ds:datastoreItem>
</file>

<file path=docProps/app.xml><?xml version="1.0" encoding="utf-8"?>
<Properties xmlns="http://schemas.openxmlformats.org/officeDocument/2006/extended-properties" xmlns:vt="http://schemas.openxmlformats.org/officeDocument/2006/docPropsVTypes">
  <Template>Normal</Template>
  <Pages>1</Pages>
  <Words>237</Words>
  <Characters>1351</Characters>
  <Lines>11</Lines>
  <Paragraphs>3</Paragraphs>
  <TotalTime>0</TotalTime>
  <ScaleCrop>false</ScaleCrop>
  <LinksUpToDate>false</LinksUpToDate>
  <CharactersWithSpaces>1585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2020-08-29T16:43:00Z</dcterms:created>
  <dc:creator>号 吴</dc:creator>
  <cp:lastModifiedBy>何钊</cp:lastModifiedBy>
  <dcterms:modified xsi:type="dcterms:W3CDTF">2020-09-01T09:47:08Z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